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6"/>
        <w:gridCol w:w="4657"/>
      </w:tblGrid>
      <w:tr w:rsidR="001F3BF5" w:rsidRPr="003479F6" w14:paraId="4C1CBFF6" w14:textId="77777777" w:rsidTr="001F3BF5">
        <w:trPr>
          <w:trHeight w:val="549"/>
          <w:jc w:val="center"/>
        </w:trPr>
        <w:tc>
          <w:tcPr>
            <w:tcW w:w="4666" w:type="dxa"/>
          </w:tcPr>
          <w:p w14:paraId="5F715E4B" w14:textId="05ECB21C" w:rsidR="001F3BF5" w:rsidRPr="003479F6" w:rsidRDefault="001F3BF5" w:rsidP="00B61828">
            <w:pPr>
              <w:pStyle w:val="TableParagraph"/>
              <w:spacing w:before="2"/>
              <w:rPr>
                <w:b/>
                <w:sz w:val="24"/>
                <w:szCs w:val="24"/>
              </w:rPr>
            </w:pPr>
            <w:r w:rsidRPr="003479F6">
              <w:rPr>
                <w:b/>
                <w:sz w:val="24"/>
                <w:szCs w:val="24"/>
              </w:rPr>
              <w:t>ORGANIZATION</w:t>
            </w:r>
            <w:r w:rsidR="00BA5B34" w:rsidRPr="003479F6">
              <w:rPr>
                <w:b/>
                <w:sz w:val="24"/>
                <w:szCs w:val="24"/>
              </w:rPr>
              <w:t>S</w:t>
            </w:r>
            <w:r w:rsidRPr="003479F6">
              <w:rPr>
                <w:b/>
                <w:sz w:val="24"/>
                <w:szCs w:val="24"/>
              </w:rPr>
              <w:t>:</w:t>
            </w:r>
          </w:p>
          <w:p w14:paraId="748035FB" w14:textId="77777777" w:rsidR="001F3BF5" w:rsidRPr="003479F6" w:rsidRDefault="001F3BF5" w:rsidP="00B61828">
            <w:pPr>
              <w:pStyle w:val="TableParagraph"/>
              <w:spacing w:line="254" w:lineRule="exact"/>
              <w:rPr>
                <w:sz w:val="24"/>
                <w:szCs w:val="24"/>
              </w:rPr>
            </w:pPr>
            <w:r w:rsidRPr="003479F6">
              <w:rPr>
                <w:sz w:val="24"/>
                <w:szCs w:val="24"/>
              </w:rPr>
              <w:t>Map to Health, LLC DBA Recovery Unplugged</w:t>
            </w:r>
          </w:p>
          <w:p w14:paraId="6824A00D" w14:textId="77777777" w:rsidR="00BA5B34" w:rsidRPr="003479F6" w:rsidRDefault="00BA5B34" w:rsidP="00B61828">
            <w:pPr>
              <w:pStyle w:val="TableParagraph"/>
              <w:spacing w:line="254" w:lineRule="exact"/>
              <w:rPr>
                <w:sz w:val="24"/>
                <w:szCs w:val="24"/>
              </w:rPr>
            </w:pPr>
            <w:r w:rsidRPr="003479F6">
              <w:rPr>
                <w:sz w:val="24"/>
                <w:szCs w:val="24"/>
              </w:rPr>
              <w:t>Recovery Unplugged Austin, LLC</w:t>
            </w:r>
          </w:p>
          <w:p w14:paraId="76DF7064" w14:textId="77777777" w:rsidR="00BA5B34" w:rsidRPr="003479F6" w:rsidRDefault="00BA5B34" w:rsidP="00B61828">
            <w:pPr>
              <w:pStyle w:val="TableParagraph"/>
              <w:spacing w:line="254" w:lineRule="exact"/>
              <w:rPr>
                <w:sz w:val="24"/>
                <w:szCs w:val="24"/>
              </w:rPr>
            </w:pPr>
            <w:r w:rsidRPr="003479F6">
              <w:rPr>
                <w:sz w:val="24"/>
                <w:szCs w:val="24"/>
              </w:rPr>
              <w:t>Recovery Unplugged Encore, LLC</w:t>
            </w:r>
          </w:p>
          <w:p w14:paraId="25A181FA" w14:textId="77777777" w:rsidR="000B44BD" w:rsidRDefault="000B44BD" w:rsidP="000B44BD">
            <w:pPr>
              <w:pStyle w:val="TableParagraph"/>
              <w:spacing w:line="254" w:lineRule="exact"/>
              <w:rPr>
                <w:sz w:val="24"/>
                <w:szCs w:val="24"/>
              </w:rPr>
            </w:pPr>
            <w:r>
              <w:rPr>
                <w:sz w:val="24"/>
                <w:szCs w:val="24"/>
              </w:rPr>
              <w:t>Recovery Unplugged Northern Virginia</w:t>
            </w:r>
          </w:p>
          <w:p w14:paraId="1B3B5BBC" w14:textId="07A52E21" w:rsidR="009745F6" w:rsidRPr="003479F6" w:rsidRDefault="009745F6" w:rsidP="00B61828">
            <w:pPr>
              <w:pStyle w:val="TableParagraph"/>
              <w:spacing w:line="254" w:lineRule="exact"/>
              <w:rPr>
                <w:sz w:val="24"/>
                <w:szCs w:val="24"/>
              </w:rPr>
            </w:pPr>
            <w:r w:rsidRPr="003479F6">
              <w:rPr>
                <w:sz w:val="24"/>
                <w:szCs w:val="24"/>
              </w:rPr>
              <w:t>Recovery Unplugged Nashville, LLC</w:t>
            </w:r>
          </w:p>
        </w:tc>
        <w:tc>
          <w:tcPr>
            <w:tcW w:w="4657" w:type="dxa"/>
          </w:tcPr>
          <w:p w14:paraId="4F3AF1C5" w14:textId="77777777" w:rsidR="001F3BF5" w:rsidRPr="003479F6" w:rsidRDefault="001F3BF5" w:rsidP="00B61828">
            <w:pPr>
              <w:pStyle w:val="TableParagraph"/>
              <w:spacing w:before="2"/>
              <w:rPr>
                <w:b/>
                <w:sz w:val="24"/>
                <w:szCs w:val="24"/>
              </w:rPr>
            </w:pPr>
            <w:r w:rsidRPr="003479F6">
              <w:rPr>
                <w:b/>
                <w:sz w:val="24"/>
                <w:szCs w:val="24"/>
              </w:rPr>
              <w:t>POLICY TITLE:</w:t>
            </w:r>
          </w:p>
          <w:p w14:paraId="2359EE6E" w14:textId="0640C87B" w:rsidR="001F3BF5" w:rsidRPr="003479F6" w:rsidRDefault="00FE76EC" w:rsidP="00B61828">
            <w:pPr>
              <w:pStyle w:val="TableParagraph"/>
              <w:spacing w:line="254" w:lineRule="exact"/>
              <w:rPr>
                <w:sz w:val="24"/>
                <w:szCs w:val="24"/>
              </w:rPr>
            </w:pPr>
            <w:r w:rsidRPr="00FE76EC">
              <w:rPr>
                <w:sz w:val="24"/>
                <w:szCs w:val="24"/>
                <w:lang w:bidi="en-US"/>
              </w:rPr>
              <w:t>Health Insurance Portability and Accountability (HIPAA)</w:t>
            </w:r>
            <w:r w:rsidR="009A636F">
              <w:rPr>
                <w:sz w:val="24"/>
                <w:szCs w:val="24"/>
                <w:lang w:bidi="en-US"/>
              </w:rPr>
              <w:t xml:space="preserve"> and Confidentiality</w:t>
            </w:r>
          </w:p>
        </w:tc>
      </w:tr>
      <w:tr w:rsidR="001F3BF5" w:rsidRPr="003479F6" w14:paraId="1C49ED69" w14:textId="77777777" w:rsidTr="001F3BF5">
        <w:trPr>
          <w:trHeight w:val="547"/>
          <w:jc w:val="center"/>
        </w:trPr>
        <w:tc>
          <w:tcPr>
            <w:tcW w:w="4666" w:type="dxa"/>
          </w:tcPr>
          <w:p w14:paraId="28F01EA3" w14:textId="3994DA6A" w:rsidR="001F3BF5" w:rsidRPr="003479F6" w:rsidRDefault="001F3BF5" w:rsidP="001F3BF5">
            <w:pPr>
              <w:pStyle w:val="TableParagraph"/>
              <w:spacing w:before="2"/>
              <w:rPr>
                <w:b/>
                <w:sz w:val="24"/>
                <w:szCs w:val="24"/>
              </w:rPr>
            </w:pPr>
            <w:r w:rsidRPr="003479F6">
              <w:rPr>
                <w:b/>
                <w:sz w:val="24"/>
                <w:szCs w:val="24"/>
              </w:rPr>
              <w:t>EFFECTIVE DATE:</w:t>
            </w:r>
          </w:p>
          <w:p w14:paraId="67D1FED9" w14:textId="0A979BA2" w:rsidR="001F3BF5" w:rsidRPr="003479F6" w:rsidRDefault="009772A9" w:rsidP="001F3BF5">
            <w:pPr>
              <w:pStyle w:val="TableParagraph"/>
              <w:spacing w:line="252" w:lineRule="exact"/>
              <w:rPr>
                <w:sz w:val="24"/>
                <w:szCs w:val="24"/>
              </w:rPr>
            </w:pPr>
            <w:r w:rsidRPr="003479F6">
              <w:rPr>
                <w:sz w:val="24"/>
                <w:szCs w:val="24"/>
              </w:rPr>
              <w:t>8/1/19</w:t>
            </w:r>
          </w:p>
        </w:tc>
        <w:tc>
          <w:tcPr>
            <w:tcW w:w="4657" w:type="dxa"/>
          </w:tcPr>
          <w:p w14:paraId="7E2AC749" w14:textId="77777777" w:rsidR="001F3BF5" w:rsidRPr="003479F6" w:rsidRDefault="001F3BF5" w:rsidP="00B61828">
            <w:pPr>
              <w:pStyle w:val="TableParagraph"/>
              <w:spacing w:before="2"/>
              <w:rPr>
                <w:b/>
                <w:sz w:val="24"/>
                <w:szCs w:val="24"/>
              </w:rPr>
            </w:pPr>
            <w:r w:rsidRPr="003479F6">
              <w:rPr>
                <w:b/>
                <w:sz w:val="24"/>
                <w:szCs w:val="24"/>
              </w:rPr>
              <w:t>POLICY NUMBER:</w:t>
            </w:r>
          </w:p>
          <w:p w14:paraId="4A2C3068" w14:textId="413E5BAD" w:rsidR="001F3BF5" w:rsidRPr="003479F6" w:rsidRDefault="00423BA7" w:rsidP="00B61828">
            <w:pPr>
              <w:pStyle w:val="TableParagraph"/>
              <w:spacing w:line="252" w:lineRule="exact"/>
              <w:rPr>
                <w:sz w:val="24"/>
                <w:szCs w:val="24"/>
              </w:rPr>
            </w:pPr>
            <w:r>
              <w:rPr>
                <w:sz w:val="24"/>
                <w:szCs w:val="24"/>
              </w:rPr>
              <w:t>OP-IM-4.00</w:t>
            </w:r>
          </w:p>
        </w:tc>
      </w:tr>
      <w:tr w:rsidR="001F3BF5" w:rsidRPr="003479F6" w14:paraId="348AD5FD" w14:textId="77777777" w:rsidTr="001F3BF5">
        <w:trPr>
          <w:trHeight w:val="545"/>
          <w:jc w:val="center"/>
        </w:trPr>
        <w:tc>
          <w:tcPr>
            <w:tcW w:w="4666" w:type="dxa"/>
          </w:tcPr>
          <w:p w14:paraId="5B2590A3" w14:textId="1C3E159C" w:rsidR="001F3BF5" w:rsidRPr="003479F6" w:rsidRDefault="00BA5B34" w:rsidP="00B61828">
            <w:pPr>
              <w:pStyle w:val="TableParagraph"/>
              <w:spacing w:before="3"/>
              <w:rPr>
                <w:b/>
                <w:sz w:val="24"/>
                <w:szCs w:val="24"/>
              </w:rPr>
            </w:pPr>
            <w:r w:rsidRPr="003479F6">
              <w:rPr>
                <w:b/>
                <w:sz w:val="24"/>
                <w:szCs w:val="24"/>
              </w:rPr>
              <w:t>DEPARTMENT/PRIORITY:</w:t>
            </w:r>
          </w:p>
          <w:p w14:paraId="4B2A9F98" w14:textId="42E94C52" w:rsidR="001F3BF5" w:rsidRPr="003479F6" w:rsidRDefault="00FE76EC" w:rsidP="00B61828">
            <w:pPr>
              <w:pStyle w:val="TableParagraph"/>
              <w:spacing w:line="249" w:lineRule="exact"/>
              <w:rPr>
                <w:sz w:val="24"/>
                <w:szCs w:val="24"/>
              </w:rPr>
            </w:pPr>
            <w:r>
              <w:rPr>
                <w:sz w:val="24"/>
                <w:szCs w:val="24"/>
              </w:rPr>
              <w:t>All Departments</w:t>
            </w:r>
          </w:p>
        </w:tc>
        <w:tc>
          <w:tcPr>
            <w:tcW w:w="4657" w:type="dxa"/>
          </w:tcPr>
          <w:p w14:paraId="4BCEC44E" w14:textId="408C50C6" w:rsidR="00BA5B34" w:rsidRPr="003479F6" w:rsidRDefault="00B93621" w:rsidP="00BA5B34">
            <w:pPr>
              <w:pStyle w:val="TableParagraph"/>
              <w:spacing w:before="3"/>
              <w:rPr>
                <w:b/>
                <w:sz w:val="24"/>
                <w:szCs w:val="24"/>
              </w:rPr>
            </w:pPr>
            <w:r w:rsidRPr="003479F6">
              <w:rPr>
                <w:b/>
                <w:sz w:val="24"/>
                <w:szCs w:val="24"/>
              </w:rPr>
              <w:t>REVISION DATE</w:t>
            </w:r>
            <w:r w:rsidR="00524D1C" w:rsidRPr="003479F6">
              <w:rPr>
                <w:b/>
                <w:sz w:val="24"/>
                <w:szCs w:val="24"/>
              </w:rPr>
              <w:t>(</w:t>
            </w:r>
            <w:r w:rsidRPr="003479F6">
              <w:rPr>
                <w:b/>
                <w:sz w:val="24"/>
                <w:szCs w:val="24"/>
              </w:rPr>
              <w:t>S</w:t>
            </w:r>
            <w:r w:rsidR="00524D1C" w:rsidRPr="003479F6">
              <w:rPr>
                <w:b/>
                <w:sz w:val="24"/>
                <w:szCs w:val="24"/>
              </w:rPr>
              <w:t>)</w:t>
            </w:r>
            <w:r w:rsidR="00BA5B34" w:rsidRPr="003479F6">
              <w:rPr>
                <w:b/>
                <w:sz w:val="24"/>
                <w:szCs w:val="24"/>
              </w:rPr>
              <w:t>:</w:t>
            </w:r>
          </w:p>
          <w:p w14:paraId="6097A466" w14:textId="2A1B2EF6" w:rsidR="001F3BF5" w:rsidRPr="003479F6" w:rsidRDefault="00BF3944" w:rsidP="00B61828">
            <w:pPr>
              <w:pStyle w:val="TableParagraph"/>
              <w:spacing w:line="249" w:lineRule="exact"/>
              <w:rPr>
                <w:sz w:val="24"/>
                <w:szCs w:val="24"/>
              </w:rPr>
            </w:pPr>
            <w:r>
              <w:rPr>
                <w:sz w:val="24"/>
                <w:szCs w:val="24"/>
              </w:rPr>
              <w:t>4</w:t>
            </w:r>
            <w:r w:rsidR="00260D2B">
              <w:rPr>
                <w:sz w:val="24"/>
                <w:szCs w:val="24"/>
              </w:rPr>
              <w:t>/1</w:t>
            </w:r>
            <w:r>
              <w:rPr>
                <w:sz w:val="24"/>
                <w:szCs w:val="24"/>
              </w:rPr>
              <w:t>5</w:t>
            </w:r>
            <w:r w:rsidR="00260D2B">
              <w:rPr>
                <w:sz w:val="24"/>
                <w:szCs w:val="24"/>
              </w:rPr>
              <w:t>/2020</w:t>
            </w:r>
            <w:r w:rsidR="003F35EB">
              <w:rPr>
                <w:sz w:val="24"/>
                <w:szCs w:val="24"/>
              </w:rPr>
              <w:t>, 8/19/2020</w:t>
            </w:r>
          </w:p>
        </w:tc>
      </w:tr>
      <w:tr w:rsidR="009A636F" w:rsidRPr="003479F6" w14:paraId="64DFF909" w14:textId="77777777" w:rsidTr="001F3BF5">
        <w:trPr>
          <w:trHeight w:val="545"/>
          <w:jc w:val="center"/>
        </w:trPr>
        <w:tc>
          <w:tcPr>
            <w:tcW w:w="4666" w:type="dxa"/>
          </w:tcPr>
          <w:p w14:paraId="0193842B" w14:textId="77777777" w:rsidR="009A636F" w:rsidRDefault="009A636F" w:rsidP="00B61828">
            <w:pPr>
              <w:pStyle w:val="TableParagraph"/>
              <w:spacing w:before="3"/>
              <w:rPr>
                <w:b/>
                <w:sz w:val="24"/>
                <w:szCs w:val="24"/>
              </w:rPr>
            </w:pPr>
            <w:r>
              <w:rPr>
                <w:b/>
                <w:sz w:val="24"/>
                <w:szCs w:val="24"/>
              </w:rPr>
              <w:t>JOINT COMMISSION STANDARD:</w:t>
            </w:r>
          </w:p>
          <w:p w14:paraId="0EB67ABF" w14:textId="219604A4" w:rsidR="009A636F" w:rsidRPr="009A636F" w:rsidRDefault="009A636F" w:rsidP="00B61828">
            <w:pPr>
              <w:pStyle w:val="TableParagraph"/>
              <w:spacing w:before="3"/>
              <w:rPr>
                <w:bCs/>
                <w:sz w:val="24"/>
                <w:szCs w:val="24"/>
              </w:rPr>
            </w:pPr>
            <w:r>
              <w:rPr>
                <w:bCs/>
                <w:sz w:val="24"/>
                <w:szCs w:val="24"/>
              </w:rPr>
              <w:t>IM.02.01.01</w:t>
            </w:r>
            <w:r w:rsidR="00472859">
              <w:rPr>
                <w:bCs/>
                <w:sz w:val="24"/>
                <w:szCs w:val="24"/>
              </w:rPr>
              <w:t>; IM.02.01.03; RI.01.01.01, EP 7</w:t>
            </w:r>
          </w:p>
        </w:tc>
        <w:tc>
          <w:tcPr>
            <w:tcW w:w="4657" w:type="dxa"/>
          </w:tcPr>
          <w:p w14:paraId="0A84C626" w14:textId="77777777" w:rsidR="009A636F" w:rsidRDefault="009A636F" w:rsidP="00BA5B34">
            <w:pPr>
              <w:pStyle w:val="TableParagraph"/>
              <w:spacing w:before="3"/>
              <w:rPr>
                <w:b/>
                <w:sz w:val="24"/>
                <w:szCs w:val="24"/>
              </w:rPr>
            </w:pPr>
            <w:r>
              <w:rPr>
                <w:b/>
                <w:sz w:val="24"/>
                <w:szCs w:val="24"/>
              </w:rPr>
              <w:t>LEGAL REFERENCE:</w:t>
            </w:r>
          </w:p>
          <w:p w14:paraId="3DD70468" w14:textId="0CFA553E" w:rsidR="009A636F" w:rsidRDefault="009A636F" w:rsidP="00BA5B34">
            <w:pPr>
              <w:pStyle w:val="TableParagraph"/>
              <w:spacing w:before="3"/>
              <w:rPr>
                <w:bCs/>
                <w:sz w:val="24"/>
                <w:szCs w:val="24"/>
              </w:rPr>
            </w:pPr>
            <w:r>
              <w:rPr>
                <w:bCs/>
                <w:sz w:val="24"/>
                <w:szCs w:val="24"/>
              </w:rPr>
              <w:t>FL- 65D-30.004(12), (28)</w:t>
            </w:r>
          </w:p>
          <w:p w14:paraId="3136F10F" w14:textId="34990FA0" w:rsidR="009A636F" w:rsidRDefault="009A636F" w:rsidP="00BA5B34">
            <w:pPr>
              <w:pStyle w:val="TableParagraph"/>
              <w:spacing w:before="3"/>
              <w:rPr>
                <w:bCs/>
                <w:sz w:val="24"/>
                <w:szCs w:val="24"/>
              </w:rPr>
            </w:pPr>
            <w:r>
              <w:rPr>
                <w:bCs/>
                <w:sz w:val="24"/>
                <w:szCs w:val="24"/>
              </w:rPr>
              <w:t>TX- 448.508</w:t>
            </w:r>
          </w:p>
          <w:p w14:paraId="2068DADB" w14:textId="49649B84" w:rsidR="009A636F" w:rsidRDefault="009A636F" w:rsidP="00BA5B34">
            <w:pPr>
              <w:pStyle w:val="TableParagraph"/>
              <w:spacing w:before="3"/>
              <w:rPr>
                <w:bCs/>
                <w:sz w:val="24"/>
                <w:szCs w:val="24"/>
              </w:rPr>
            </w:pPr>
            <w:r>
              <w:rPr>
                <w:bCs/>
                <w:sz w:val="24"/>
                <w:szCs w:val="24"/>
              </w:rPr>
              <w:t>VA- 12VAC35-105- 870(B)</w:t>
            </w:r>
          </w:p>
          <w:p w14:paraId="098F98A7" w14:textId="7A4DE3BD" w:rsidR="009A636F" w:rsidRPr="009A636F" w:rsidRDefault="009A636F" w:rsidP="00BA5B34">
            <w:pPr>
              <w:pStyle w:val="TableParagraph"/>
              <w:spacing w:before="3"/>
              <w:rPr>
                <w:bCs/>
                <w:sz w:val="24"/>
                <w:szCs w:val="24"/>
              </w:rPr>
            </w:pPr>
            <w:r>
              <w:rPr>
                <w:bCs/>
                <w:sz w:val="24"/>
                <w:szCs w:val="24"/>
              </w:rPr>
              <w:t>TN- 0940-05-06-.02(1)(f)</w:t>
            </w:r>
          </w:p>
        </w:tc>
      </w:tr>
    </w:tbl>
    <w:p w14:paraId="6997F408" w14:textId="1226901C" w:rsidR="008C1CBB" w:rsidRDefault="001F3BF5" w:rsidP="00BF6C17">
      <w:pPr>
        <w:spacing w:before="360"/>
        <w:ind w:left="14"/>
        <w:rPr>
          <w:b/>
          <w:sz w:val="24"/>
          <w:szCs w:val="24"/>
          <w:u w:val="single"/>
        </w:rPr>
      </w:pPr>
      <w:r w:rsidRPr="003479F6">
        <w:rPr>
          <w:b/>
          <w:sz w:val="24"/>
          <w:szCs w:val="24"/>
          <w:u w:val="single"/>
        </w:rPr>
        <w:t>POLICY:</w:t>
      </w:r>
    </w:p>
    <w:p w14:paraId="6C733D83" w14:textId="7BC983C8" w:rsidR="00BF6C17" w:rsidRPr="00BF6C17" w:rsidRDefault="000C2C81" w:rsidP="00BF6C17">
      <w:pPr>
        <w:spacing w:before="120"/>
        <w:ind w:left="14"/>
        <w:rPr>
          <w:bCs/>
          <w:sz w:val="24"/>
          <w:szCs w:val="24"/>
        </w:rPr>
      </w:pPr>
      <w:r w:rsidRPr="000C2C81">
        <w:rPr>
          <w:bCs/>
          <w:sz w:val="24"/>
          <w:szCs w:val="24"/>
        </w:rPr>
        <w:t>Recovery Unplugged ensures that all personnel, contractors, management and executives comply with the requirements of the Health Insurance Portability and Accountability Act of 1996 (HIPAA)</w:t>
      </w:r>
      <w:r w:rsidR="0014174F">
        <w:rPr>
          <w:bCs/>
          <w:sz w:val="24"/>
          <w:szCs w:val="24"/>
        </w:rPr>
        <w:t xml:space="preserve"> and Federal Law of Confidentiality as stated 42CFR Part 2.</w:t>
      </w:r>
      <w:r w:rsidRPr="000C2C81">
        <w:rPr>
          <w:bCs/>
          <w:sz w:val="24"/>
          <w:szCs w:val="24"/>
        </w:rPr>
        <w:t xml:space="preserve"> All levels of care are covered by the HIPAA </w:t>
      </w:r>
      <w:r w:rsidR="0014174F">
        <w:rPr>
          <w:bCs/>
          <w:sz w:val="24"/>
          <w:szCs w:val="24"/>
        </w:rPr>
        <w:t xml:space="preserve">and Federal Law of Confidentiality </w:t>
      </w:r>
      <w:r w:rsidRPr="000C2C81">
        <w:rPr>
          <w:bCs/>
          <w:sz w:val="24"/>
          <w:szCs w:val="24"/>
        </w:rPr>
        <w:t>and as such must be in compliance with all of the applicable tenets of the Act.</w:t>
      </w:r>
    </w:p>
    <w:p w14:paraId="17571919" w14:textId="1C0BC566" w:rsidR="00EF6CB1" w:rsidRDefault="00EF6CB1" w:rsidP="00BF6C17">
      <w:pPr>
        <w:spacing w:before="360"/>
        <w:rPr>
          <w:rFonts w:cs="Times New Roman"/>
          <w:b/>
          <w:sz w:val="24"/>
          <w:szCs w:val="24"/>
          <w:u w:val="single"/>
        </w:rPr>
      </w:pPr>
      <w:r w:rsidRPr="003479F6">
        <w:rPr>
          <w:rFonts w:cs="Times New Roman"/>
          <w:b/>
          <w:sz w:val="24"/>
          <w:szCs w:val="24"/>
          <w:u w:val="single"/>
        </w:rPr>
        <w:t>PROCEDURE:</w:t>
      </w:r>
    </w:p>
    <w:p w14:paraId="22B02869" w14:textId="742F0272" w:rsidR="000C2C81" w:rsidRPr="0014174F" w:rsidRDefault="000C2C81" w:rsidP="00472859">
      <w:pPr>
        <w:pStyle w:val="ListParagraph"/>
        <w:numPr>
          <w:ilvl w:val="0"/>
          <w:numId w:val="7"/>
        </w:numPr>
        <w:spacing w:before="120"/>
        <w:contextualSpacing w:val="0"/>
        <w:rPr>
          <w:sz w:val="24"/>
          <w:szCs w:val="24"/>
        </w:rPr>
      </w:pPr>
      <w:r w:rsidRPr="0014174F">
        <w:rPr>
          <w:sz w:val="24"/>
          <w:szCs w:val="24"/>
        </w:rPr>
        <w:t xml:space="preserve">Employees take a HIPAA training upon hire and annually, </w:t>
      </w:r>
      <w:r w:rsidR="003F35EB" w:rsidRPr="0014174F">
        <w:rPr>
          <w:sz w:val="24"/>
          <w:szCs w:val="24"/>
        </w:rPr>
        <w:t>as well as</w:t>
      </w:r>
      <w:r w:rsidRPr="0014174F">
        <w:rPr>
          <w:sz w:val="24"/>
          <w:szCs w:val="24"/>
        </w:rPr>
        <w:t xml:space="preserve"> sign a </w:t>
      </w:r>
      <w:r w:rsidR="00E827C7" w:rsidRPr="0014174F">
        <w:rPr>
          <w:sz w:val="24"/>
          <w:szCs w:val="24"/>
        </w:rPr>
        <w:t>Confidentiality and Non-Disclosure Agreement</w:t>
      </w:r>
      <w:r w:rsidRPr="0014174F">
        <w:rPr>
          <w:sz w:val="24"/>
          <w:szCs w:val="24"/>
        </w:rPr>
        <w:t xml:space="preserve"> upon hire that will be placed in their employee file. </w:t>
      </w:r>
    </w:p>
    <w:p w14:paraId="6E9535F9" w14:textId="334F4158" w:rsidR="00CF1070" w:rsidRPr="0014174F" w:rsidRDefault="00CF1070" w:rsidP="00472859">
      <w:pPr>
        <w:pStyle w:val="ListParagraph"/>
        <w:numPr>
          <w:ilvl w:val="0"/>
          <w:numId w:val="7"/>
        </w:numPr>
        <w:spacing w:before="120"/>
        <w:contextualSpacing w:val="0"/>
        <w:rPr>
          <w:sz w:val="24"/>
          <w:szCs w:val="24"/>
        </w:rPr>
      </w:pPr>
      <w:r w:rsidRPr="0014174F">
        <w:rPr>
          <w:sz w:val="24"/>
          <w:szCs w:val="24"/>
        </w:rPr>
        <w:t xml:space="preserve">Employees must have an assigned username and password to be granted access to any desktop computer. The access will only be granted for their specific desktop and employees will not be granted access to other employee’s desktops. </w:t>
      </w:r>
    </w:p>
    <w:p w14:paraId="4B88A2D2" w14:textId="77777777" w:rsidR="00CF1070" w:rsidRPr="0014174F" w:rsidRDefault="00CF1070" w:rsidP="00472859">
      <w:pPr>
        <w:pStyle w:val="ListParagraph"/>
        <w:numPr>
          <w:ilvl w:val="0"/>
          <w:numId w:val="7"/>
        </w:numPr>
        <w:spacing w:before="120"/>
        <w:contextualSpacing w:val="0"/>
        <w:rPr>
          <w:sz w:val="24"/>
          <w:szCs w:val="24"/>
        </w:rPr>
      </w:pPr>
      <w:r w:rsidRPr="0014174F">
        <w:rPr>
          <w:sz w:val="24"/>
          <w:szCs w:val="24"/>
        </w:rPr>
        <w:t>Recovery Unplugged uses an Electronic Medical Records system (EMR) called Kipu. Kipu has implemented measures to ensure the safety of HIPAA protected files including:</w:t>
      </w:r>
    </w:p>
    <w:p w14:paraId="337DCED1" w14:textId="1CA0A0CB" w:rsidR="003D144B" w:rsidRPr="0014174F" w:rsidRDefault="00CF1070" w:rsidP="006042F8">
      <w:pPr>
        <w:pStyle w:val="ListParagraph"/>
        <w:numPr>
          <w:ilvl w:val="1"/>
          <w:numId w:val="7"/>
        </w:numPr>
        <w:spacing w:before="120"/>
        <w:contextualSpacing w:val="0"/>
        <w:rPr>
          <w:sz w:val="24"/>
          <w:szCs w:val="24"/>
        </w:rPr>
      </w:pPr>
      <w:r w:rsidRPr="0014174F">
        <w:rPr>
          <w:sz w:val="24"/>
          <w:szCs w:val="24"/>
        </w:rPr>
        <w:t xml:space="preserve">Built for the cloud; no VPN or other applications required </w:t>
      </w:r>
      <w:r w:rsidR="000C2C81" w:rsidRPr="0014174F">
        <w:rPr>
          <w:sz w:val="24"/>
          <w:szCs w:val="24"/>
        </w:rPr>
        <w:t xml:space="preserve"> </w:t>
      </w:r>
    </w:p>
    <w:p w14:paraId="59454CDC" w14:textId="34CDACF5" w:rsidR="00CF1070" w:rsidRPr="0014174F" w:rsidRDefault="00CF1070" w:rsidP="006042F8">
      <w:pPr>
        <w:pStyle w:val="ListParagraph"/>
        <w:numPr>
          <w:ilvl w:val="1"/>
          <w:numId w:val="7"/>
        </w:numPr>
        <w:spacing w:before="120"/>
        <w:contextualSpacing w:val="0"/>
        <w:rPr>
          <w:sz w:val="24"/>
          <w:szCs w:val="24"/>
        </w:rPr>
      </w:pPr>
      <w:r w:rsidRPr="0014174F">
        <w:rPr>
          <w:sz w:val="24"/>
          <w:szCs w:val="24"/>
        </w:rPr>
        <w:t>Data encryption and HIPAA certified by MBHC</w:t>
      </w:r>
    </w:p>
    <w:p w14:paraId="517106C6" w14:textId="57B82F02" w:rsidR="00CF1070" w:rsidRPr="0014174F" w:rsidRDefault="00CF1070" w:rsidP="006042F8">
      <w:pPr>
        <w:pStyle w:val="ListParagraph"/>
        <w:numPr>
          <w:ilvl w:val="1"/>
          <w:numId w:val="7"/>
        </w:numPr>
        <w:spacing w:before="120"/>
        <w:contextualSpacing w:val="0"/>
        <w:rPr>
          <w:sz w:val="24"/>
          <w:szCs w:val="24"/>
        </w:rPr>
      </w:pPr>
      <w:r w:rsidRPr="0014174F">
        <w:rPr>
          <w:sz w:val="24"/>
          <w:szCs w:val="24"/>
        </w:rPr>
        <w:t xml:space="preserve">Separate virtual servers for each client </w:t>
      </w:r>
    </w:p>
    <w:p w14:paraId="4FF05271" w14:textId="15258335" w:rsidR="00CF1070" w:rsidRPr="0014174F" w:rsidRDefault="00CF1070" w:rsidP="006042F8">
      <w:pPr>
        <w:pStyle w:val="ListParagraph"/>
        <w:numPr>
          <w:ilvl w:val="1"/>
          <w:numId w:val="7"/>
        </w:numPr>
        <w:spacing w:before="120"/>
        <w:contextualSpacing w:val="0"/>
        <w:rPr>
          <w:sz w:val="24"/>
          <w:szCs w:val="24"/>
        </w:rPr>
      </w:pPr>
      <w:r w:rsidRPr="0014174F">
        <w:rPr>
          <w:sz w:val="24"/>
          <w:szCs w:val="24"/>
        </w:rPr>
        <w:t xml:space="preserve">Servers are on a private network, not just exposed for hackers to see </w:t>
      </w:r>
    </w:p>
    <w:p w14:paraId="5B2750B5" w14:textId="39EEC56C" w:rsidR="00CF1070" w:rsidRPr="0014174F" w:rsidRDefault="00CF1070" w:rsidP="006042F8">
      <w:pPr>
        <w:pStyle w:val="ListParagraph"/>
        <w:numPr>
          <w:ilvl w:val="1"/>
          <w:numId w:val="7"/>
        </w:numPr>
        <w:spacing w:before="120"/>
        <w:contextualSpacing w:val="0"/>
        <w:rPr>
          <w:sz w:val="24"/>
          <w:szCs w:val="24"/>
        </w:rPr>
      </w:pPr>
      <w:r w:rsidRPr="0014174F">
        <w:rPr>
          <w:sz w:val="24"/>
          <w:szCs w:val="24"/>
        </w:rPr>
        <w:t>NOT multi-tenant or multi-user</w:t>
      </w:r>
    </w:p>
    <w:p w14:paraId="181885B2" w14:textId="765FE46C" w:rsidR="00CF1070" w:rsidRPr="0014174F" w:rsidRDefault="00CF1070" w:rsidP="006042F8">
      <w:pPr>
        <w:pStyle w:val="ListParagraph"/>
        <w:numPr>
          <w:ilvl w:val="1"/>
          <w:numId w:val="7"/>
        </w:numPr>
        <w:spacing w:before="120"/>
        <w:contextualSpacing w:val="0"/>
        <w:rPr>
          <w:sz w:val="24"/>
          <w:szCs w:val="24"/>
        </w:rPr>
      </w:pPr>
      <w:r w:rsidRPr="0014174F">
        <w:rPr>
          <w:sz w:val="24"/>
          <w:szCs w:val="24"/>
        </w:rPr>
        <w:t xml:space="preserve">Regular data intrusion testing </w:t>
      </w:r>
    </w:p>
    <w:p w14:paraId="57CAF221" w14:textId="02573161" w:rsidR="00CF1070" w:rsidRPr="0014174F" w:rsidRDefault="00CF1070" w:rsidP="006042F8">
      <w:pPr>
        <w:pStyle w:val="ListParagraph"/>
        <w:numPr>
          <w:ilvl w:val="1"/>
          <w:numId w:val="7"/>
        </w:numPr>
        <w:spacing w:before="120"/>
        <w:contextualSpacing w:val="0"/>
        <w:rPr>
          <w:sz w:val="24"/>
          <w:szCs w:val="24"/>
        </w:rPr>
      </w:pPr>
      <w:r w:rsidRPr="0014174F">
        <w:rPr>
          <w:sz w:val="24"/>
          <w:szCs w:val="24"/>
        </w:rPr>
        <w:t xml:space="preserve">Two-Factor authentication </w:t>
      </w:r>
    </w:p>
    <w:p w14:paraId="660E1A32" w14:textId="5F54C4FD" w:rsidR="00CF1070" w:rsidRPr="0014174F" w:rsidRDefault="003C080C" w:rsidP="00472859">
      <w:pPr>
        <w:pStyle w:val="ListParagraph"/>
        <w:numPr>
          <w:ilvl w:val="0"/>
          <w:numId w:val="7"/>
        </w:numPr>
        <w:spacing w:before="120"/>
        <w:contextualSpacing w:val="0"/>
        <w:rPr>
          <w:sz w:val="24"/>
          <w:szCs w:val="24"/>
        </w:rPr>
      </w:pPr>
      <w:r w:rsidRPr="0014174F">
        <w:rPr>
          <w:sz w:val="24"/>
          <w:szCs w:val="24"/>
        </w:rPr>
        <w:lastRenderedPageBreak/>
        <w:t xml:space="preserve">The use and disclosure of </w:t>
      </w:r>
      <w:r w:rsidR="00CF1070" w:rsidRPr="0014174F">
        <w:rPr>
          <w:sz w:val="24"/>
          <w:szCs w:val="24"/>
        </w:rPr>
        <w:t xml:space="preserve">protected health information (PHI) </w:t>
      </w:r>
      <w:r w:rsidRPr="0014174F">
        <w:rPr>
          <w:sz w:val="24"/>
          <w:szCs w:val="24"/>
        </w:rPr>
        <w:t xml:space="preserve">falls into three (3) basic categories under HIPAA and each are must be addressed separately. </w:t>
      </w:r>
    </w:p>
    <w:p w14:paraId="52160D1A" w14:textId="48E3FA0A" w:rsidR="003C080C" w:rsidRPr="0014174F" w:rsidRDefault="003C080C" w:rsidP="002E0E66">
      <w:pPr>
        <w:pStyle w:val="Style1"/>
      </w:pPr>
      <w:r w:rsidRPr="0014174F">
        <w:t xml:space="preserve">Required: Uses and disclosures that must be made to comply with the law and are not subject to consent or authorization by Recovery Unplugged. </w:t>
      </w:r>
    </w:p>
    <w:p w14:paraId="6CFC294C" w14:textId="33F5647F" w:rsidR="003C080C" w:rsidRPr="0014174F" w:rsidRDefault="003C080C" w:rsidP="002E0E66">
      <w:pPr>
        <w:pStyle w:val="Style1"/>
      </w:pPr>
      <w:r w:rsidRPr="0014174F">
        <w:t>Permitted: Uses and disclosures that are allowed under the law, but not require</w:t>
      </w:r>
      <w:r w:rsidR="007A727F">
        <w:t>d</w:t>
      </w:r>
      <w:r w:rsidRPr="0014174F">
        <w:t xml:space="preserve">, and are not subject to consent or authorization by Recovery Unplugged. </w:t>
      </w:r>
    </w:p>
    <w:p w14:paraId="7EEBA269" w14:textId="43E116AC" w:rsidR="003C080C" w:rsidRPr="0014174F" w:rsidRDefault="003C080C" w:rsidP="00472859">
      <w:pPr>
        <w:pStyle w:val="ListParagraph"/>
        <w:numPr>
          <w:ilvl w:val="1"/>
          <w:numId w:val="7"/>
        </w:numPr>
        <w:spacing w:before="120"/>
        <w:contextualSpacing w:val="0"/>
        <w:rPr>
          <w:sz w:val="24"/>
          <w:szCs w:val="24"/>
        </w:rPr>
      </w:pPr>
      <w:r w:rsidRPr="0014174F">
        <w:rPr>
          <w:sz w:val="24"/>
          <w:szCs w:val="24"/>
        </w:rPr>
        <w:t xml:space="preserve">Restricted: Uses and disclosures that are not allowed without the consent or authorization of Recovery Unplugged. </w:t>
      </w:r>
    </w:p>
    <w:p w14:paraId="2D2F9B07" w14:textId="1FA59796" w:rsidR="003C080C" w:rsidRPr="0014174F" w:rsidRDefault="003C080C" w:rsidP="00472859">
      <w:pPr>
        <w:pStyle w:val="ListParagraph"/>
        <w:numPr>
          <w:ilvl w:val="0"/>
          <w:numId w:val="7"/>
        </w:numPr>
        <w:spacing w:before="120"/>
        <w:contextualSpacing w:val="0"/>
        <w:rPr>
          <w:sz w:val="24"/>
          <w:szCs w:val="24"/>
        </w:rPr>
      </w:pPr>
      <w:r w:rsidRPr="0014174F">
        <w:rPr>
          <w:sz w:val="24"/>
          <w:szCs w:val="24"/>
        </w:rPr>
        <w:t>Limits of confidentiality include:</w:t>
      </w:r>
    </w:p>
    <w:p w14:paraId="2EB522F8" w14:textId="7AEF9B7E" w:rsidR="003C080C" w:rsidRPr="0014174F" w:rsidRDefault="003C080C" w:rsidP="006042F8">
      <w:pPr>
        <w:pStyle w:val="ListParagraph"/>
        <w:numPr>
          <w:ilvl w:val="1"/>
          <w:numId w:val="7"/>
        </w:numPr>
        <w:spacing w:before="120"/>
        <w:contextualSpacing w:val="0"/>
        <w:rPr>
          <w:sz w:val="24"/>
          <w:szCs w:val="24"/>
        </w:rPr>
      </w:pPr>
      <w:r w:rsidRPr="0014174F">
        <w:rPr>
          <w:sz w:val="24"/>
          <w:szCs w:val="24"/>
        </w:rPr>
        <w:t xml:space="preserve">Client must consent in writing </w:t>
      </w:r>
    </w:p>
    <w:p w14:paraId="552D3CF7" w14:textId="4775417D" w:rsidR="003C080C" w:rsidRPr="0014174F" w:rsidRDefault="003C080C" w:rsidP="006042F8">
      <w:pPr>
        <w:pStyle w:val="ListParagraph"/>
        <w:numPr>
          <w:ilvl w:val="1"/>
          <w:numId w:val="7"/>
        </w:numPr>
        <w:spacing w:before="120"/>
        <w:contextualSpacing w:val="0"/>
        <w:rPr>
          <w:sz w:val="24"/>
          <w:szCs w:val="24"/>
        </w:rPr>
      </w:pPr>
      <w:r w:rsidRPr="0014174F">
        <w:rPr>
          <w:sz w:val="24"/>
          <w:szCs w:val="24"/>
        </w:rPr>
        <w:t>Disclosure is allowed by court order</w:t>
      </w:r>
    </w:p>
    <w:p w14:paraId="785E462D" w14:textId="6A5221D0" w:rsidR="003C080C" w:rsidRPr="0014174F" w:rsidRDefault="003C080C" w:rsidP="006042F8">
      <w:pPr>
        <w:pStyle w:val="ListParagraph"/>
        <w:numPr>
          <w:ilvl w:val="1"/>
          <w:numId w:val="7"/>
        </w:numPr>
        <w:spacing w:before="120"/>
        <w:contextualSpacing w:val="0"/>
        <w:rPr>
          <w:sz w:val="24"/>
          <w:szCs w:val="24"/>
        </w:rPr>
      </w:pPr>
      <w:r w:rsidRPr="0014174F">
        <w:rPr>
          <w:sz w:val="24"/>
          <w:szCs w:val="24"/>
        </w:rPr>
        <w:t xml:space="preserve">Disclosure to medical personnel in case of emergency </w:t>
      </w:r>
    </w:p>
    <w:p w14:paraId="6BE82863" w14:textId="4471BE87" w:rsidR="003C080C" w:rsidRPr="0014174F" w:rsidRDefault="003C080C" w:rsidP="006042F8">
      <w:pPr>
        <w:pStyle w:val="ListParagraph"/>
        <w:numPr>
          <w:ilvl w:val="1"/>
          <w:numId w:val="7"/>
        </w:numPr>
        <w:spacing w:before="120"/>
        <w:contextualSpacing w:val="0"/>
        <w:rPr>
          <w:sz w:val="24"/>
          <w:szCs w:val="24"/>
        </w:rPr>
      </w:pPr>
      <w:r w:rsidRPr="0014174F">
        <w:rPr>
          <w:sz w:val="24"/>
          <w:szCs w:val="24"/>
        </w:rPr>
        <w:t xml:space="preserve">Disclosure for healthcare operations </w:t>
      </w:r>
    </w:p>
    <w:p w14:paraId="0538FBDD" w14:textId="3E054320" w:rsidR="00DD4CF8" w:rsidRPr="0014174F" w:rsidRDefault="003C080C" w:rsidP="006042F8">
      <w:pPr>
        <w:pStyle w:val="ListParagraph"/>
        <w:numPr>
          <w:ilvl w:val="1"/>
          <w:numId w:val="7"/>
        </w:numPr>
        <w:spacing w:before="120"/>
        <w:contextualSpacing w:val="0"/>
        <w:rPr>
          <w:sz w:val="24"/>
          <w:szCs w:val="24"/>
        </w:rPr>
      </w:pPr>
      <w:r w:rsidRPr="0014174F">
        <w:rPr>
          <w:sz w:val="24"/>
          <w:szCs w:val="24"/>
        </w:rPr>
        <w:t xml:space="preserve">Disclosure if client is a danger/threat to themselves or others </w:t>
      </w:r>
    </w:p>
    <w:p w14:paraId="69FF66BD" w14:textId="78363D30" w:rsidR="003C080C" w:rsidRPr="0014174F" w:rsidRDefault="003C080C" w:rsidP="006042F8">
      <w:pPr>
        <w:pStyle w:val="ListParagraph"/>
        <w:numPr>
          <w:ilvl w:val="1"/>
          <w:numId w:val="7"/>
        </w:numPr>
        <w:spacing w:before="120"/>
        <w:contextualSpacing w:val="0"/>
        <w:rPr>
          <w:sz w:val="24"/>
          <w:szCs w:val="24"/>
        </w:rPr>
      </w:pPr>
      <w:r w:rsidRPr="0014174F">
        <w:rPr>
          <w:sz w:val="24"/>
          <w:szCs w:val="24"/>
        </w:rPr>
        <w:t xml:space="preserve">Disclosure to qualified professionals for research/audit </w:t>
      </w:r>
    </w:p>
    <w:p w14:paraId="53D65EC3" w14:textId="3DCF6886" w:rsidR="003C080C" w:rsidRPr="0014174F" w:rsidRDefault="003C080C" w:rsidP="006042F8">
      <w:pPr>
        <w:pStyle w:val="ListParagraph"/>
        <w:numPr>
          <w:ilvl w:val="1"/>
          <w:numId w:val="7"/>
        </w:numPr>
        <w:spacing w:before="120"/>
        <w:contextualSpacing w:val="0"/>
        <w:rPr>
          <w:sz w:val="24"/>
          <w:szCs w:val="24"/>
        </w:rPr>
      </w:pPr>
      <w:r w:rsidRPr="0014174F">
        <w:rPr>
          <w:sz w:val="24"/>
          <w:szCs w:val="24"/>
        </w:rPr>
        <w:t xml:space="preserve">Disclosure if crime is committed on premises or against personnel </w:t>
      </w:r>
    </w:p>
    <w:p w14:paraId="0774E7A9" w14:textId="6AED07A0" w:rsidR="003C080C" w:rsidRPr="0014174F" w:rsidRDefault="003C080C" w:rsidP="006042F8">
      <w:pPr>
        <w:pStyle w:val="ListParagraph"/>
        <w:numPr>
          <w:ilvl w:val="1"/>
          <w:numId w:val="7"/>
        </w:numPr>
        <w:spacing w:before="120"/>
        <w:contextualSpacing w:val="0"/>
        <w:rPr>
          <w:sz w:val="24"/>
          <w:szCs w:val="24"/>
        </w:rPr>
      </w:pPr>
      <w:r w:rsidRPr="0014174F">
        <w:rPr>
          <w:sz w:val="24"/>
          <w:szCs w:val="24"/>
        </w:rPr>
        <w:t xml:space="preserve">Disclosure due to suspected child/elderly abuse/neglect </w:t>
      </w:r>
    </w:p>
    <w:p w14:paraId="285B09D5" w14:textId="1C990597" w:rsidR="002E0E66" w:rsidRDefault="00DD4CF8" w:rsidP="002E0E66">
      <w:pPr>
        <w:pStyle w:val="ListParagraph"/>
        <w:numPr>
          <w:ilvl w:val="0"/>
          <w:numId w:val="7"/>
        </w:numPr>
        <w:tabs>
          <w:tab w:val="left" w:pos="1289"/>
          <w:tab w:val="left" w:pos="1291"/>
        </w:tabs>
        <w:spacing w:before="120" w:after="120"/>
        <w:contextualSpacing w:val="0"/>
        <w:rPr>
          <w:rFonts w:cs="Times New Roman"/>
          <w:sz w:val="24"/>
          <w:szCs w:val="24"/>
        </w:rPr>
      </w:pPr>
      <w:r w:rsidRPr="0014174F">
        <w:rPr>
          <w:rFonts w:cs="Times New Roman"/>
          <w:sz w:val="24"/>
          <w:szCs w:val="24"/>
        </w:rPr>
        <w:t>Recovery Unplugged programs shall not use or</w:t>
      </w:r>
      <w:r w:rsidRPr="0014174F">
        <w:rPr>
          <w:rFonts w:cs="Times New Roman"/>
          <w:spacing w:val="-25"/>
          <w:sz w:val="24"/>
          <w:szCs w:val="24"/>
        </w:rPr>
        <w:t xml:space="preserve"> </w:t>
      </w:r>
      <w:r w:rsidRPr="0014174F">
        <w:rPr>
          <w:rFonts w:cs="Times New Roman"/>
          <w:sz w:val="24"/>
          <w:szCs w:val="24"/>
        </w:rPr>
        <w:t>disclose PHI</w:t>
      </w:r>
      <w:r w:rsidRPr="0014174F">
        <w:rPr>
          <w:rFonts w:cs="Times New Roman"/>
          <w:spacing w:val="-6"/>
          <w:sz w:val="24"/>
          <w:szCs w:val="24"/>
        </w:rPr>
        <w:t xml:space="preserve"> </w:t>
      </w:r>
      <w:r w:rsidRPr="0014174F">
        <w:rPr>
          <w:rFonts w:cs="Times New Roman"/>
          <w:sz w:val="24"/>
          <w:szCs w:val="24"/>
        </w:rPr>
        <w:t>without</w:t>
      </w:r>
      <w:r w:rsidRPr="0014174F">
        <w:rPr>
          <w:rFonts w:cs="Times New Roman"/>
          <w:spacing w:val="-6"/>
          <w:sz w:val="24"/>
          <w:szCs w:val="24"/>
        </w:rPr>
        <w:t xml:space="preserve"> </w:t>
      </w:r>
      <w:r w:rsidRPr="0014174F">
        <w:rPr>
          <w:rFonts w:cs="Times New Roman"/>
          <w:sz w:val="24"/>
          <w:szCs w:val="24"/>
        </w:rPr>
        <w:t>a</w:t>
      </w:r>
      <w:r w:rsidRPr="0014174F">
        <w:rPr>
          <w:rFonts w:cs="Times New Roman"/>
          <w:spacing w:val="-5"/>
          <w:sz w:val="24"/>
          <w:szCs w:val="24"/>
        </w:rPr>
        <w:t xml:space="preserve"> </w:t>
      </w:r>
      <w:r w:rsidRPr="0014174F">
        <w:rPr>
          <w:rFonts w:cs="Times New Roman"/>
          <w:sz w:val="24"/>
          <w:szCs w:val="24"/>
        </w:rPr>
        <w:t>valid</w:t>
      </w:r>
      <w:r w:rsidRPr="0014174F">
        <w:rPr>
          <w:rFonts w:cs="Times New Roman"/>
          <w:spacing w:val="-5"/>
          <w:sz w:val="24"/>
          <w:szCs w:val="24"/>
        </w:rPr>
        <w:t xml:space="preserve"> </w:t>
      </w:r>
      <w:r w:rsidRPr="0014174F">
        <w:rPr>
          <w:rFonts w:cs="Times New Roman"/>
          <w:sz w:val="24"/>
          <w:szCs w:val="24"/>
        </w:rPr>
        <w:t>authorization by the client,</w:t>
      </w:r>
      <w:r w:rsidRPr="0014174F">
        <w:rPr>
          <w:rFonts w:cs="Times New Roman"/>
          <w:spacing w:val="-5"/>
          <w:sz w:val="24"/>
          <w:szCs w:val="24"/>
        </w:rPr>
        <w:t xml:space="preserve"> </w:t>
      </w:r>
      <w:r w:rsidRPr="0014174F">
        <w:rPr>
          <w:rFonts w:cs="Times New Roman"/>
          <w:sz w:val="24"/>
          <w:szCs w:val="24"/>
        </w:rPr>
        <w:t>unless</w:t>
      </w:r>
      <w:r w:rsidRPr="0014174F">
        <w:rPr>
          <w:rFonts w:cs="Times New Roman"/>
          <w:spacing w:val="-5"/>
          <w:sz w:val="24"/>
          <w:szCs w:val="24"/>
        </w:rPr>
        <w:t xml:space="preserve"> </w:t>
      </w:r>
      <w:r w:rsidRPr="0014174F">
        <w:rPr>
          <w:rFonts w:cs="Times New Roman"/>
          <w:sz w:val="24"/>
          <w:szCs w:val="24"/>
        </w:rPr>
        <w:t>permitted</w:t>
      </w:r>
      <w:r w:rsidRPr="0014174F">
        <w:rPr>
          <w:rFonts w:cs="Times New Roman"/>
          <w:spacing w:val="-6"/>
          <w:sz w:val="24"/>
          <w:szCs w:val="24"/>
        </w:rPr>
        <w:t xml:space="preserve"> </w:t>
      </w:r>
      <w:r w:rsidRPr="0014174F">
        <w:rPr>
          <w:rFonts w:cs="Times New Roman"/>
          <w:sz w:val="24"/>
          <w:szCs w:val="24"/>
        </w:rPr>
        <w:t>by</w:t>
      </w:r>
      <w:r w:rsidRPr="0014174F">
        <w:rPr>
          <w:rFonts w:cs="Times New Roman"/>
          <w:spacing w:val="-6"/>
          <w:sz w:val="24"/>
          <w:szCs w:val="24"/>
        </w:rPr>
        <w:t xml:space="preserve"> </w:t>
      </w:r>
      <w:r w:rsidRPr="0014174F">
        <w:rPr>
          <w:rFonts w:cs="Times New Roman"/>
          <w:sz w:val="24"/>
          <w:szCs w:val="24"/>
        </w:rPr>
        <w:t>law or if the situation falls into the limits of confidentiality. All such uses and disclosures shall be consistent with the valid authorization</w:t>
      </w:r>
      <w:r w:rsidRPr="0014174F">
        <w:rPr>
          <w:rFonts w:cs="Times New Roman"/>
          <w:spacing w:val="-34"/>
          <w:sz w:val="24"/>
          <w:szCs w:val="24"/>
        </w:rPr>
        <w:t xml:space="preserve"> </w:t>
      </w:r>
      <w:r w:rsidRPr="0014174F">
        <w:rPr>
          <w:rFonts w:cs="Times New Roman"/>
          <w:sz w:val="24"/>
          <w:szCs w:val="24"/>
        </w:rPr>
        <w:t xml:space="preserve">and applicable law. Recovery Unplugged has each client sign </w:t>
      </w:r>
      <w:r w:rsidR="00C5601A" w:rsidRPr="0014174F">
        <w:rPr>
          <w:rFonts w:cs="Times New Roman"/>
          <w:sz w:val="24"/>
          <w:szCs w:val="24"/>
        </w:rPr>
        <w:t xml:space="preserve">a Release of Authorization form upon intake or whenever PHI </w:t>
      </w:r>
      <w:r w:rsidR="002A6E41" w:rsidRPr="0014174F">
        <w:rPr>
          <w:rFonts w:cs="Times New Roman"/>
          <w:sz w:val="24"/>
          <w:szCs w:val="24"/>
        </w:rPr>
        <w:t>is going to be disclosed. (See attachment 4.00</w:t>
      </w:r>
      <w:r w:rsidR="000B44BD">
        <w:rPr>
          <w:rFonts w:cs="Times New Roman"/>
          <w:sz w:val="24"/>
          <w:szCs w:val="24"/>
        </w:rPr>
        <w:t>(</w:t>
      </w:r>
      <w:r w:rsidR="002A6E41" w:rsidRPr="0014174F">
        <w:rPr>
          <w:rFonts w:cs="Times New Roman"/>
          <w:sz w:val="24"/>
          <w:szCs w:val="24"/>
        </w:rPr>
        <w:t>a</w:t>
      </w:r>
      <w:r w:rsidR="000B44BD">
        <w:rPr>
          <w:rFonts w:cs="Times New Roman"/>
          <w:sz w:val="24"/>
          <w:szCs w:val="24"/>
        </w:rPr>
        <w:t>)</w:t>
      </w:r>
      <w:r w:rsidR="002A6E41" w:rsidRPr="0014174F">
        <w:rPr>
          <w:rFonts w:cs="Times New Roman"/>
          <w:sz w:val="24"/>
          <w:szCs w:val="24"/>
        </w:rPr>
        <w:t>)</w:t>
      </w:r>
    </w:p>
    <w:p w14:paraId="62B0DACE" w14:textId="45BE14BF" w:rsidR="009C5277" w:rsidRPr="002E0E66" w:rsidRDefault="00681E05" w:rsidP="002E0E66">
      <w:pPr>
        <w:pStyle w:val="Style1"/>
      </w:pPr>
      <w:r w:rsidRPr="002E0E66">
        <w:t>All Medical Records requests shall be submitted to the Medical Records Department via department email. Staff shall not release Medical Records</w:t>
      </w:r>
      <w:r w:rsidR="00884D2B" w:rsidRPr="002E0E66">
        <w:t>.</w:t>
      </w:r>
    </w:p>
    <w:p w14:paraId="63ECF0ED" w14:textId="23D8C721" w:rsidR="00884D2B" w:rsidRPr="002E0E66" w:rsidRDefault="00884D2B" w:rsidP="002E0E66">
      <w:pPr>
        <w:pStyle w:val="Style1"/>
      </w:pPr>
      <w:r w:rsidRPr="002E0E66">
        <w:t xml:space="preserve">The submission request shall </w:t>
      </w:r>
      <w:r w:rsidR="00A234C8" w:rsidRPr="002E0E66">
        <w:t>include documents being requested</w:t>
      </w:r>
      <w:r w:rsidR="00C871FE" w:rsidRPr="002E0E66">
        <w:t>, reason and ROI, if necessary.</w:t>
      </w:r>
      <w:r w:rsidR="00595D93" w:rsidRPr="002E0E66">
        <w:t xml:space="preserve"> </w:t>
      </w:r>
    </w:p>
    <w:p w14:paraId="2A5E5347" w14:textId="01E15270" w:rsidR="009C5277" w:rsidRPr="002E0E66" w:rsidRDefault="009C5277" w:rsidP="002E0E66">
      <w:pPr>
        <w:pStyle w:val="Style1"/>
      </w:pPr>
      <w:r w:rsidRPr="002E0E66">
        <w:t xml:space="preserve">Recovery Unplugged has </w:t>
      </w:r>
      <w:r w:rsidR="008740DB" w:rsidRPr="002E0E66">
        <w:t>thirty (30) days to provide the medical record once the request has been received.</w:t>
      </w:r>
    </w:p>
    <w:p w14:paraId="2B2FE183" w14:textId="76E290F0" w:rsidR="001931AC" w:rsidRPr="002E0E66" w:rsidRDefault="001931AC" w:rsidP="002E0E66">
      <w:pPr>
        <w:pStyle w:val="Style1"/>
      </w:pPr>
      <w:r w:rsidRPr="002E0E66">
        <w:t>Recovery Unplugged may deny access to any portion of the record if</w:t>
      </w:r>
      <w:r w:rsidR="006042F8" w:rsidRPr="002E0E66">
        <w:t xml:space="preserve"> </w:t>
      </w:r>
      <w:r w:rsidRPr="002E0E66">
        <w:t>determined that release of that portion would be harmful to the client</w:t>
      </w:r>
      <w:r w:rsidR="00CD4D03" w:rsidRPr="002E0E66">
        <w:t xml:space="preserve"> or other’s </w:t>
      </w:r>
      <w:r w:rsidRPr="002E0E66">
        <w:t>physical, mental, or emotional health</w:t>
      </w:r>
      <w:r w:rsidR="00460FB3" w:rsidRPr="002E0E66">
        <w:t xml:space="preserve"> according to </w:t>
      </w:r>
      <w:r w:rsidR="00BF3944" w:rsidRPr="002E0E66">
        <w:t xml:space="preserve">state and federal law. </w:t>
      </w:r>
    </w:p>
    <w:p w14:paraId="224A7FA3" w14:textId="77272ABF" w:rsidR="00DD4CF8" w:rsidRPr="0014174F" w:rsidRDefault="00183B58" w:rsidP="00472859">
      <w:pPr>
        <w:pStyle w:val="ListParagraph"/>
        <w:numPr>
          <w:ilvl w:val="0"/>
          <w:numId w:val="7"/>
        </w:numPr>
        <w:spacing w:before="120"/>
        <w:contextualSpacing w:val="0"/>
        <w:rPr>
          <w:sz w:val="24"/>
          <w:szCs w:val="24"/>
        </w:rPr>
      </w:pPr>
      <w:r w:rsidRPr="0014174F">
        <w:rPr>
          <w:sz w:val="24"/>
          <w:szCs w:val="24"/>
        </w:rPr>
        <w:t xml:space="preserve">All client information, counseling sessions, and records shall be kept confidential. </w:t>
      </w:r>
    </w:p>
    <w:p w14:paraId="349FEAE2" w14:textId="49CE7F55" w:rsidR="00DB7AF0" w:rsidRDefault="00DB7AF0" w:rsidP="00472859">
      <w:pPr>
        <w:pStyle w:val="ListParagraph"/>
        <w:numPr>
          <w:ilvl w:val="0"/>
          <w:numId w:val="7"/>
        </w:numPr>
        <w:spacing w:before="120"/>
        <w:contextualSpacing w:val="0"/>
        <w:rPr>
          <w:sz w:val="24"/>
          <w:szCs w:val="24"/>
        </w:rPr>
      </w:pPr>
      <w:r w:rsidRPr="0014174F">
        <w:rPr>
          <w:sz w:val="24"/>
          <w:szCs w:val="24"/>
        </w:rPr>
        <w:t xml:space="preserve">Recovery Unplugged contracts with outside personnel, who may have access to PHI. Those personnel sign a Business Associate Agreement and/or </w:t>
      </w:r>
      <w:r w:rsidR="00E827C7" w:rsidRPr="0014174F">
        <w:rPr>
          <w:sz w:val="24"/>
          <w:szCs w:val="24"/>
        </w:rPr>
        <w:t xml:space="preserve">Confidentiality and </w:t>
      </w:r>
      <w:r w:rsidR="00E827C7" w:rsidRPr="0014174F">
        <w:rPr>
          <w:sz w:val="24"/>
          <w:szCs w:val="24"/>
        </w:rPr>
        <w:lastRenderedPageBreak/>
        <w:t>Non-Disclosure</w:t>
      </w:r>
      <w:r w:rsidRPr="0014174F">
        <w:rPr>
          <w:sz w:val="24"/>
          <w:szCs w:val="24"/>
        </w:rPr>
        <w:t xml:space="preserve"> Agreement that states </w:t>
      </w:r>
      <w:r w:rsidR="00873256" w:rsidRPr="0014174F">
        <w:rPr>
          <w:sz w:val="24"/>
          <w:szCs w:val="24"/>
        </w:rPr>
        <w:t xml:space="preserve">federal regulations </w:t>
      </w:r>
      <w:r w:rsidR="00D94D6D" w:rsidRPr="0014174F">
        <w:rPr>
          <w:sz w:val="24"/>
          <w:szCs w:val="24"/>
        </w:rPr>
        <w:t xml:space="preserve">regarding HIPAA and confidentiality. </w:t>
      </w:r>
    </w:p>
    <w:p w14:paraId="11F7B659" w14:textId="5273C11C" w:rsidR="009A636F" w:rsidRPr="0014174F" w:rsidRDefault="009A636F" w:rsidP="00472859">
      <w:pPr>
        <w:pStyle w:val="ListParagraph"/>
        <w:numPr>
          <w:ilvl w:val="0"/>
          <w:numId w:val="7"/>
        </w:numPr>
        <w:spacing w:before="120"/>
        <w:contextualSpacing w:val="0"/>
        <w:rPr>
          <w:sz w:val="24"/>
          <w:szCs w:val="24"/>
        </w:rPr>
      </w:pPr>
      <w:r>
        <w:rPr>
          <w:sz w:val="24"/>
          <w:szCs w:val="24"/>
        </w:rPr>
        <w:t xml:space="preserve">Please see policy </w:t>
      </w:r>
      <w:r w:rsidRPr="001B7E34">
        <w:rPr>
          <w:sz w:val="24"/>
          <w:szCs w:val="24"/>
        </w:rPr>
        <w:t>OP-CL-7</w:t>
      </w:r>
      <w:r w:rsidR="001B7E34" w:rsidRPr="001B7E34">
        <w:rPr>
          <w:sz w:val="24"/>
          <w:szCs w:val="24"/>
        </w:rPr>
        <w:t>.</w:t>
      </w:r>
      <w:r w:rsidR="001B7E34">
        <w:rPr>
          <w:sz w:val="24"/>
          <w:szCs w:val="24"/>
        </w:rPr>
        <w:t>02</w:t>
      </w:r>
      <w:r>
        <w:rPr>
          <w:sz w:val="24"/>
          <w:szCs w:val="24"/>
        </w:rPr>
        <w:t xml:space="preserve"> for additional policies on Confidentiality.</w:t>
      </w:r>
    </w:p>
    <w:sectPr w:rsidR="009A636F" w:rsidRPr="0014174F" w:rsidSect="00072C0E">
      <w:headerReference w:type="default" r:id="rId10"/>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A7544" w14:textId="77777777" w:rsidR="00F44989" w:rsidRDefault="00F44989" w:rsidP="001F3BF5">
      <w:r>
        <w:separator/>
      </w:r>
    </w:p>
  </w:endnote>
  <w:endnote w:type="continuationSeparator" w:id="0">
    <w:p w14:paraId="232FB85E" w14:textId="77777777" w:rsidR="00F44989" w:rsidRDefault="00F44989" w:rsidP="001F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419C9" w14:textId="77777777" w:rsidR="00F44989" w:rsidRDefault="00F44989" w:rsidP="001F3BF5">
      <w:r>
        <w:separator/>
      </w:r>
    </w:p>
  </w:footnote>
  <w:footnote w:type="continuationSeparator" w:id="0">
    <w:p w14:paraId="7F256293" w14:textId="77777777" w:rsidR="00F44989" w:rsidRDefault="00F44989" w:rsidP="001F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06FE" w14:textId="44AE718E" w:rsidR="001F3BF5" w:rsidRPr="001F3BF5" w:rsidRDefault="001F3BF5" w:rsidP="001F3BF5">
    <w:pPr>
      <w:pStyle w:val="Header"/>
      <w:jc w:val="center"/>
      <w:rPr>
        <w:b/>
        <w:sz w:val="24"/>
      </w:rPr>
    </w:pPr>
    <w:r w:rsidRPr="001F3BF5">
      <w:rPr>
        <w:b/>
        <w:sz w:val="24"/>
      </w:rPr>
      <w:t>RECOVERY UNPLUGGED</w:t>
    </w:r>
    <w:r w:rsidR="00BA5B34">
      <w:rPr>
        <w:b/>
        <w:sz w:val="24"/>
      </w:rPr>
      <w:t xml:space="preserve">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7B94"/>
    <w:multiLevelType w:val="hybridMultilevel"/>
    <w:tmpl w:val="F55C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58C1"/>
    <w:multiLevelType w:val="multilevel"/>
    <w:tmpl w:val="B6FC8B0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D90844"/>
    <w:multiLevelType w:val="hybridMultilevel"/>
    <w:tmpl w:val="EAF8E844"/>
    <w:lvl w:ilvl="0" w:tplc="0409000F">
      <w:start w:val="1"/>
      <w:numFmt w:val="decimal"/>
      <w:lvlText w:val="%1."/>
      <w:lvlJc w:val="left"/>
      <w:pPr>
        <w:ind w:left="720" w:hanging="360"/>
      </w:pPr>
      <w:rPr>
        <w:rFonts w:hint="default"/>
      </w:rPr>
    </w:lvl>
    <w:lvl w:ilvl="1" w:tplc="398AE114">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E7949"/>
    <w:multiLevelType w:val="multilevel"/>
    <w:tmpl w:val="B6FC8B0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0D5566"/>
    <w:multiLevelType w:val="multilevel"/>
    <w:tmpl w:val="B6FC8B0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E04BC4"/>
    <w:multiLevelType w:val="hybridMultilevel"/>
    <w:tmpl w:val="C31CB2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FC5BD0"/>
    <w:multiLevelType w:val="multilevel"/>
    <w:tmpl w:val="B6FC8B0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EDE6CF2"/>
    <w:multiLevelType w:val="multilevel"/>
    <w:tmpl w:val="B6FC8B0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3"/>
  </w:num>
  <w:num w:numId="4">
    <w:abstractNumId w:val="4"/>
  </w:num>
  <w:num w:numId="5">
    <w:abstractNumId w:val="7"/>
  </w:num>
  <w:num w:numId="6">
    <w:abstractNumId w:val="1"/>
  </w:num>
  <w:num w:numId="7">
    <w:abstractNumId w:val="2"/>
  </w:num>
  <w:num w:numId="8">
    <w:abstractNumId w:val="2"/>
    <w:lvlOverride w:ilvl="0">
      <w:lvl w:ilvl="0" w:tplc="0409000F">
        <w:start w:val="1"/>
        <w:numFmt w:val="lowerLetter"/>
        <w:lvlText w:val="%1."/>
        <w:lvlJc w:val="left"/>
        <w:pPr>
          <w:ind w:left="1440" w:hanging="360"/>
        </w:pPr>
        <w:rPr>
          <w:rFonts w:hint="default"/>
        </w:rPr>
      </w:lvl>
    </w:lvlOverride>
    <w:lvlOverride w:ilvl="1">
      <w:lvl w:ilvl="1" w:tplc="398AE114">
        <w:start w:val="1"/>
        <w:numFmt w:val="lowerLetter"/>
        <w:pStyle w:val="Style1"/>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
    <w:lvlOverride w:ilvl="0">
      <w:lvl w:ilvl="0" w:tplc="0409000F">
        <w:start w:val="1"/>
        <w:numFmt w:val="lowerLetter"/>
        <w:lvlText w:val="%1."/>
        <w:lvlJc w:val="left"/>
        <w:pPr>
          <w:ind w:left="1440" w:hanging="360"/>
        </w:pPr>
        <w:rPr>
          <w:rFonts w:hint="default"/>
        </w:rPr>
      </w:lvl>
    </w:lvlOverride>
    <w:lvlOverride w:ilvl="1">
      <w:lvl w:ilvl="1" w:tplc="398AE114">
        <w:start w:val="1"/>
        <w:numFmt w:val="lowerLetter"/>
        <w:pStyle w:val="Style1"/>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2"/>
    <w:lvlOverride w:ilvl="0">
      <w:lvl w:ilvl="0" w:tplc="0409000F">
        <w:start w:val="1"/>
        <w:numFmt w:val="lowerLetter"/>
        <w:lvlText w:val="%1."/>
        <w:lvlJc w:val="left"/>
        <w:pPr>
          <w:ind w:left="1440" w:hanging="360"/>
        </w:pPr>
        <w:rPr>
          <w:rFonts w:hint="default"/>
        </w:rPr>
      </w:lvl>
    </w:lvlOverride>
    <w:lvlOverride w:ilvl="1">
      <w:lvl w:ilvl="1" w:tplc="398AE114">
        <w:start w:val="1"/>
        <w:numFmt w:val="lowerLetter"/>
        <w:pStyle w:val="Style1"/>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F5"/>
    <w:rsid w:val="00037F93"/>
    <w:rsid w:val="00072C0E"/>
    <w:rsid w:val="000B44BD"/>
    <w:rsid w:val="000C2C81"/>
    <w:rsid w:val="000E3563"/>
    <w:rsid w:val="0014174F"/>
    <w:rsid w:val="00183B58"/>
    <w:rsid w:val="001931AC"/>
    <w:rsid w:val="001B7E34"/>
    <w:rsid w:val="001F3BF5"/>
    <w:rsid w:val="00260D2B"/>
    <w:rsid w:val="00281889"/>
    <w:rsid w:val="002A6E41"/>
    <w:rsid w:val="002C6397"/>
    <w:rsid w:val="002D7FFC"/>
    <w:rsid w:val="002E0E66"/>
    <w:rsid w:val="00324063"/>
    <w:rsid w:val="003479F6"/>
    <w:rsid w:val="003836A7"/>
    <w:rsid w:val="00385A5B"/>
    <w:rsid w:val="003C080C"/>
    <w:rsid w:val="003D144B"/>
    <w:rsid w:val="003D4496"/>
    <w:rsid w:val="003F35EB"/>
    <w:rsid w:val="004026EB"/>
    <w:rsid w:val="00423BA7"/>
    <w:rsid w:val="004410EB"/>
    <w:rsid w:val="00460FB3"/>
    <w:rsid w:val="00472859"/>
    <w:rsid w:val="0048488A"/>
    <w:rsid w:val="00524D1C"/>
    <w:rsid w:val="005368A9"/>
    <w:rsid w:val="00595D93"/>
    <w:rsid w:val="005A2914"/>
    <w:rsid w:val="006002C6"/>
    <w:rsid w:val="006042F8"/>
    <w:rsid w:val="00662C84"/>
    <w:rsid w:val="00681E05"/>
    <w:rsid w:val="007151E4"/>
    <w:rsid w:val="007A727F"/>
    <w:rsid w:val="007C12EE"/>
    <w:rsid w:val="007F03AE"/>
    <w:rsid w:val="00812DFE"/>
    <w:rsid w:val="00823C7D"/>
    <w:rsid w:val="00873256"/>
    <w:rsid w:val="008740DB"/>
    <w:rsid w:val="00884D2B"/>
    <w:rsid w:val="008969DB"/>
    <w:rsid w:val="008C1CBB"/>
    <w:rsid w:val="008E53E9"/>
    <w:rsid w:val="00973591"/>
    <w:rsid w:val="009745F6"/>
    <w:rsid w:val="009772A9"/>
    <w:rsid w:val="009A636F"/>
    <w:rsid w:val="009C5277"/>
    <w:rsid w:val="009D6926"/>
    <w:rsid w:val="00A224FE"/>
    <w:rsid w:val="00A234C8"/>
    <w:rsid w:val="00A63036"/>
    <w:rsid w:val="00B42C3B"/>
    <w:rsid w:val="00B56231"/>
    <w:rsid w:val="00B57721"/>
    <w:rsid w:val="00B70386"/>
    <w:rsid w:val="00B93621"/>
    <w:rsid w:val="00BA5B34"/>
    <w:rsid w:val="00BF3944"/>
    <w:rsid w:val="00BF6C17"/>
    <w:rsid w:val="00C511A8"/>
    <w:rsid w:val="00C5601A"/>
    <w:rsid w:val="00C67EC4"/>
    <w:rsid w:val="00C871FE"/>
    <w:rsid w:val="00CB108F"/>
    <w:rsid w:val="00CD4D03"/>
    <w:rsid w:val="00CD7288"/>
    <w:rsid w:val="00CF1070"/>
    <w:rsid w:val="00D33203"/>
    <w:rsid w:val="00D83200"/>
    <w:rsid w:val="00D94D6D"/>
    <w:rsid w:val="00DB7AF0"/>
    <w:rsid w:val="00DD4CF8"/>
    <w:rsid w:val="00E37A43"/>
    <w:rsid w:val="00E827C7"/>
    <w:rsid w:val="00EE2158"/>
    <w:rsid w:val="00EF6CB1"/>
    <w:rsid w:val="00F44989"/>
    <w:rsid w:val="00F55471"/>
    <w:rsid w:val="00FE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4A5B"/>
  <w15:chartTrackingRefBased/>
  <w15:docId w15:val="{B6580AAB-CAFF-450F-B9FC-A55207C3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F5"/>
    <w:pPr>
      <w:widowControl w:val="0"/>
      <w:autoSpaceDE w:val="0"/>
      <w:autoSpaceDN w:val="0"/>
      <w:spacing w:after="0" w:line="240" w:lineRule="auto"/>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F3BF5"/>
    <w:pPr>
      <w:spacing w:before="4"/>
      <w:ind w:left="105"/>
    </w:pPr>
  </w:style>
  <w:style w:type="paragraph" w:styleId="Header">
    <w:name w:val="header"/>
    <w:basedOn w:val="Normal"/>
    <w:link w:val="HeaderChar"/>
    <w:uiPriority w:val="99"/>
    <w:unhideWhenUsed/>
    <w:rsid w:val="001F3BF5"/>
    <w:pPr>
      <w:tabs>
        <w:tab w:val="center" w:pos="4680"/>
        <w:tab w:val="right" w:pos="9360"/>
      </w:tabs>
    </w:pPr>
  </w:style>
  <w:style w:type="character" w:customStyle="1" w:styleId="HeaderChar">
    <w:name w:val="Header Char"/>
    <w:basedOn w:val="DefaultParagraphFont"/>
    <w:link w:val="Header"/>
    <w:uiPriority w:val="99"/>
    <w:rsid w:val="001F3BF5"/>
    <w:rPr>
      <w:rFonts w:ascii="Cambria" w:eastAsia="Cambria" w:hAnsi="Cambria" w:cs="Cambria"/>
    </w:rPr>
  </w:style>
  <w:style w:type="paragraph" w:styleId="Footer">
    <w:name w:val="footer"/>
    <w:basedOn w:val="Normal"/>
    <w:link w:val="FooterChar"/>
    <w:uiPriority w:val="99"/>
    <w:unhideWhenUsed/>
    <w:rsid w:val="001F3BF5"/>
    <w:pPr>
      <w:tabs>
        <w:tab w:val="center" w:pos="4680"/>
        <w:tab w:val="right" w:pos="9360"/>
      </w:tabs>
    </w:pPr>
  </w:style>
  <w:style w:type="character" w:customStyle="1" w:styleId="FooterChar">
    <w:name w:val="Footer Char"/>
    <w:basedOn w:val="DefaultParagraphFont"/>
    <w:link w:val="Footer"/>
    <w:uiPriority w:val="99"/>
    <w:rsid w:val="001F3BF5"/>
    <w:rPr>
      <w:rFonts w:ascii="Cambria" w:eastAsia="Cambria" w:hAnsi="Cambria" w:cs="Cambria"/>
    </w:rPr>
  </w:style>
  <w:style w:type="paragraph" w:styleId="ListParagraph">
    <w:name w:val="List Paragraph"/>
    <w:basedOn w:val="Normal"/>
    <w:link w:val="ListParagraphChar"/>
    <w:uiPriority w:val="34"/>
    <w:qFormat/>
    <w:rsid w:val="003D4496"/>
    <w:pPr>
      <w:ind w:left="720"/>
      <w:contextualSpacing/>
    </w:pPr>
  </w:style>
  <w:style w:type="paragraph" w:customStyle="1" w:styleId="Style1">
    <w:name w:val="Style1"/>
    <w:basedOn w:val="ListParagraph"/>
    <w:link w:val="Style1Char"/>
    <w:qFormat/>
    <w:rsid w:val="002E0E66"/>
    <w:pPr>
      <w:numPr>
        <w:ilvl w:val="1"/>
        <w:numId w:val="7"/>
      </w:numPr>
      <w:spacing w:before="120"/>
      <w:contextualSpacing w:val="0"/>
    </w:pPr>
    <w:rPr>
      <w:sz w:val="24"/>
      <w:szCs w:val="24"/>
    </w:rPr>
  </w:style>
  <w:style w:type="character" w:customStyle="1" w:styleId="ListParagraphChar">
    <w:name w:val="List Paragraph Char"/>
    <w:basedOn w:val="DefaultParagraphFont"/>
    <w:link w:val="ListParagraph"/>
    <w:uiPriority w:val="34"/>
    <w:rsid w:val="002E0E66"/>
    <w:rPr>
      <w:rFonts w:ascii="Cambria" w:eastAsia="Cambria" w:hAnsi="Cambria" w:cs="Cambria"/>
    </w:rPr>
  </w:style>
  <w:style w:type="character" w:customStyle="1" w:styleId="Style1Char">
    <w:name w:val="Style1 Char"/>
    <w:basedOn w:val="ListParagraphChar"/>
    <w:link w:val="Style1"/>
    <w:rsid w:val="002E0E66"/>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00693DD79F94F8F0D7B10CB1EF128" ma:contentTypeVersion="13" ma:contentTypeDescription="Create a new document." ma:contentTypeScope="" ma:versionID="03d418daedb8bf899958cb4ed2eff173">
  <xsd:schema xmlns:xsd="http://www.w3.org/2001/XMLSchema" xmlns:xs="http://www.w3.org/2001/XMLSchema" xmlns:p="http://schemas.microsoft.com/office/2006/metadata/properties" xmlns:ns3="49707227-9ccd-4c9e-8e4d-74471c30e353" xmlns:ns4="76acb04e-341c-4ec1-82b0-e9d421af0adb" targetNamespace="http://schemas.microsoft.com/office/2006/metadata/properties" ma:root="true" ma:fieldsID="83e4f3a7c8b68c614769dcedf700ef0e" ns3:_="" ns4:_="">
    <xsd:import namespace="49707227-9ccd-4c9e-8e4d-74471c30e353"/>
    <xsd:import namespace="76acb04e-341c-4ec1-82b0-e9d421af0a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Location"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07227-9ccd-4c9e-8e4d-74471c30e3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cb04e-341c-4ec1-82b0-e9d421af0a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11AF9-3594-4EB3-B07B-E7241296C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07227-9ccd-4c9e-8e4d-74471c30e353"/>
    <ds:schemaRef ds:uri="76acb04e-341c-4ec1-82b0-e9d421af0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A0FDF-5F93-49FA-BB65-829C144B93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FA3AC-0F58-4B01-9358-38AFFB516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Arbaugh</dc:creator>
  <cp:keywords/>
  <dc:description/>
  <cp:lastModifiedBy>Jessica Arbaugh</cp:lastModifiedBy>
  <cp:revision>3</cp:revision>
  <cp:lastPrinted>2019-09-10T15:03:00Z</cp:lastPrinted>
  <dcterms:created xsi:type="dcterms:W3CDTF">2020-04-20T17:38:00Z</dcterms:created>
  <dcterms:modified xsi:type="dcterms:W3CDTF">2020-08-19T14:26:00Z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0x01010048A00693DD79F94F8F0D7B10CB1EF128</vt:lpwstr>
  </property>
</Properties>
</file>